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ACDA29" w14:textId="36414161" w:rsidR="000412C5" w:rsidRPr="000412C5" w:rsidRDefault="000412C5" w:rsidP="000412C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MX"/>
        </w:rPr>
      </w:pPr>
      <w:r w:rsidRPr="000412C5">
        <w:rPr>
          <w:rFonts w:ascii="Times New Roman" w:eastAsia="Times New Roman" w:hAnsi="Times New Roman" w:cs="Times New Roman"/>
          <w:b/>
          <w:bCs/>
          <w:sz w:val="36"/>
          <w:szCs w:val="36"/>
          <w:lang w:eastAsia="es-MX"/>
        </w:rPr>
        <w:t xml:space="preserve">Curso: GD&amp;T – Dimensionamiento y Tolerancias Geométricas </w:t>
      </w:r>
    </w:p>
    <w:p w14:paraId="1D3A34A2" w14:textId="77777777" w:rsidR="000412C5" w:rsidRPr="000412C5" w:rsidRDefault="000412C5" w:rsidP="000412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0412C5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Duración:</w:t>
      </w:r>
      <w:r w:rsidRPr="000412C5">
        <w:rPr>
          <w:rFonts w:ascii="Times New Roman" w:eastAsia="Times New Roman" w:hAnsi="Times New Roman" w:cs="Times New Roman"/>
          <w:sz w:val="24"/>
          <w:szCs w:val="24"/>
          <w:lang w:eastAsia="es-MX"/>
        </w:rPr>
        <w:br/>
        <w:t>16 horas</w:t>
      </w:r>
    </w:p>
    <w:p w14:paraId="5D01E73E" w14:textId="77777777" w:rsidR="000412C5" w:rsidRPr="000412C5" w:rsidRDefault="000412C5" w:rsidP="000412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0412C5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Objetivo general:</w:t>
      </w:r>
      <w:r w:rsidRPr="000412C5">
        <w:rPr>
          <w:rFonts w:ascii="Times New Roman" w:eastAsia="Times New Roman" w:hAnsi="Times New Roman" w:cs="Times New Roman"/>
          <w:sz w:val="24"/>
          <w:szCs w:val="24"/>
          <w:lang w:eastAsia="es-MX"/>
        </w:rPr>
        <w:br/>
        <w:t xml:space="preserve">Desarrollar en los participantes las competencias necesarias para interpretar y aplicar correctamente el lenguaje de GD&amp;T conforme a los estándares ASME Y14.5, con el fin de asegurar la correcta comunicación del diseño, mejorar la </w:t>
      </w:r>
      <w:proofErr w:type="spellStart"/>
      <w:r w:rsidRPr="000412C5">
        <w:rPr>
          <w:rFonts w:ascii="Times New Roman" w:eastAsia="Times New Roman" w:hAnsi="Times New Roman" w:cs="Times New Roman"/>
          <w:sz w:val="24"/>
          <w:szCs w:val="24"/>
          <w:lang w:eastAsia="es-MX"/>
        </w:rPr>
        <w:t>manufacturabilidad</w:t>
      </w:r>
      <w:proofErr w:type="spellEnd"/>
      <w:r w:rsidRPr="000412C5">
        <w:rPr>
          <w:rFonts w:ascii="Times New Roman" w:eastAsia="Times New Roman" w:hAnsi="Times New Roman" w:cs="Times New Roman"/>
          <w:sz w:val="24"/>
          <w:szCs w:val="24"/>
          <w:lang w:eastAsia="es-MX"/>
        </w:rPr>
        <w:t>, reducir variación y evitar rechazos, retrabajos y conflictos entre diseño, manufactura y calidad.</w:t>
      </w:r>
    </w:p>
    <w:p w14:paraId="2D111ECD" w14:textId="77777777" w:rsidR="000412C5" w:rsidRPr="000412C5" w:rsidRDefault="000412C5" w:rsidP="000412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0412C5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Dirigido a:</w:t>
      </w:r>
    </w:p>
    <w:p w14:paraId="04D759D2" w14:textId="77777777" w:rsidR="000412C5" w:rsidRPr="000412C5" w:rsidRDefault="000412C5" w:rsidP="000412C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0412C5">
        <w:rPr>
          <w:rFonts w:ascii="Times New Roman" w:eastAsia="Times New Roman" w:hAnsi="Times New Roman" w:cs="Times New Roman"/>
          <w:sz w:val="24"/>
          <w:szCs w:val="24"/>
          <w:lang w:eastAsia="es-MX"/>
        </w:rPr>
        <w:t>Ingenieros de diseño, manufactura y procesos</w:t>
      </w:r>
    </w:p>
    <w:p w14:paraId="549D7B5E" w14:textId="77777777" w:rsidR="000412C5" w:rsidRPr="000412C5" w:rsidRDefault="000412C5" w:rsidP="000412C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0412C5">
        <w:rPr>
          <w:rFonts w:ascii="Times New Roman" w:eastAsia="Times New Roman" w:hAnsi="Times New Roman" w:cs="Times New Roman"/>
          <w:sz w:val="24"/>
          <w:szCs w:val="24"/>
          <w:lang w:eastAsia="es-MX"/>
        </w:rPr>
        <w:t>Ingenieros y técnicos de calidad</w:t>
      </w:r>
    </w:p>
    <w:p w14:paraId="3892BA30" w14:textId="77777777" w:rsidR="000412C5" w:rsidRPr="000412C5" w:rsidRDefault="000412C5" w:rsidP="000412C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0412C5">
        <w:rPr>
          <w:rFonts w:ascii="Times New Roman" w:eastAsia="Times New Roman" w:hAnsi="Times New Roman" w:cs="Times New Roman"/>
          <w:sz w:val="24"/>
          <w:szCs w:val="24"/>
          <w:lang w:eastAsia="es-MX"/>
        </w:rPr>
        <w:t>Inspectores de calidad y metrología</w:t>
      </w:r>
    </w:p>
    <w:p w14:paraId="6FFD92A2" w14:textId="77777777" w:rsidR="000412C5" w:rsidRPr="000412C5" w:rsidRDefault="000412C5" w:rsidP="000412C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0412C5">
        <w:rPr>
          <w:rFonts w:ascii="Times New Roman" w:eastAsia="Times New Roman" w:hAnsi="Times New Roman" w:cs="Times New Roman"/>
          <w:sz w:val="24"/>
          <w:szCs w:val="24"/>
          <w:lang w:eastAsia="es-MX"/>
        </w:rPr>
        <w:t>Ingenieros de producto</w:t>
      </w:r>
    </w:p>
    <w:p w14:paraId="6DEF50D4" w14:textId="77777777" w:rsidR="000412C5" w:rsidRPr="000412C5" w:rsidRDefault="000412C5" w:rsidP="000412C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0412C5">
        <w:rPr>
          <w:rFonts w:ascii="Times New Roman" w:eastAsia="Times New Roman" w:hAnsi="Times New Roman" w:cs="Times New Roman"/>
          <w:sz w:val="24"/>
          <w:szCs w:val="24"/>
          <w:lang w:eastAsia="es-MX"/>
        </w:rPr>
        <w:t>Profesionales con conocimientos básicos de dibujo técnico y tolerancias</w:t>
      </w:r>
    </w:p>
    <w:p w14:paraId="10FCB826" w14:textId="77777777" w:rsidR="000412C5" w:rsidRPr="000412C5" w:rsidRDefault="000412C5" w:rsidP="000412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0412C5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Temario:</w:t>
      </w:r>
    </w:p>
    <w:p w14:paraId="4A314945" w14:textId="77777777" w:rsidR="000412C5" w:rsidRPr="000412C5" w:rsidRDefault="000412C5" w:rsidP="000412C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0412C5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Fundamentos Intermedios de GD&amp;T</w:t>
      </w:r>
    </w:p>
    <w:p w14:paraId="5FD4B022" w14:textId="77777777" w:rsidR="000412C5" w:rsidRPr="000412C5" w:rsidRDefault="000412C5" w:rsidP="000412C5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0412C5">
        <w:rPr>
          <w:rFonts w:ascii="Times New Roman" w:eastAsia="Times New Roman" w:hAnsi="Times New Roman" w:cs="Times New Roman"/>
          <w:sz w:val="24"/>
          <w:szCs w:val="24"/>
          <w:lang w:eastAsia="es-MX"/>
        </w:rPr>
        <w:t>Propósito y beneficios del GD&amp;T</w:t>
      </w:r>
    </w:p>
    <w:p w14:paraId="7D7600E8" w14:textId="77777777" w:rsidR="000412C5" w:rsidRPr="000412C5" w:rsidRDefault="000412C5" w:rsidP="000412C5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0412C5">
        <w:rPr>
          <w:rFonts w:ascii="Times New Roman" w:eastAsia="Times New Roman" w:hAnsi="Times New Roman" w:cs="Times New Roman"/>
          <w:sz w:val="24"/>
          <w:szCs w:val="24"/>
          <w:lang w:eastAsia="es-MX"/>
        </w:rPr>
        <w:t>Diferencias entre tolerancias dimensionales y geométricas</w:t>
      </w:r>
    </w:p>
    <w:p w14:paraId="330DCE73" w14:textId="77777777" w:rsidR="000412C5" w:rsidRPr="000412C5" w:rsidRDefault="000412C5" w:rsidP="000412C5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0412C5">
        <w:rPr>
          <w:rFonts w:ascii="Times New Roman" w:eastAsia="Times New Roman" w:hAnsi="Times New Roman" w:cs="Times New Roman"/>
          <w:sz w:val="24"/>
          <w:szCs w:val="24"/>
          <w:lang w:eastAsia="es-MX"/>
        </w:rPr>
        <w:t>Lenguaje común entre diseño, manufactura y calidad</w:t>
      </w:r>
    </w:p>
    <w:p w14:paraId="33B5E985" w14:textId="77777777" w:rsidR="000412C5" w:rsidRPr="000412C5" w:rsidRDefault="000412C5" w:rsidP="000412C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0412C5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Referencias y Sistemas de Datum</w:t>
      </w:r>
    </w:p>
    <w:p w14:paraId="64CC61B1" w14:textId="77777777" w:rsidR="000412C5" w:rsidRPr="000412C5" w:rsidRDefault="000412C5" w:rsidP="000412C5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0412C5">
        <w:rPr>
          <w:rFonts w:ascii="Times New Roman" w:eastAsia="Times New Roman" w:hAnsi="Times New Roman" w:cs="Times New Roman"/>
          <w:sz w:val="24"/>
          <w:szCs w:val="24"/>
          <w:lang w:eastAsia="es-MX"/>
        </w:rPr>
        <w:t>Concepto de datum y simuladores de datum</w:t>
      </w:r>
    </w:p>
    <w:p w14:paraId="0FCC9CFE" w14:textId="77777777" w:rsidR="000412C5" w:rsidRPr="000412C5" w:rsidRDefault="000412C5" w:rsidP="000412C5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0412C5">
        <w:rPr>
          <w:rFonts w:ascii="Times New Roman" w:eastAsia="Times New Roman" w:hAnsi="Times New Roman" w:cs="Times New Roman"/>
          <w:sz w:val="24"/>
          <w:szCs w:val="24"/>
          <w:lang w:eastAsia="es-MX"/>
        </w:rPr>
        <w:t>Establecimiento correcto de sistemas de referencia</w:t>
      </w:r>
    </w:p>
    <w:p w14:paraId="37AF8002" w14:textId="77777777" w:rsidR="000412C5" w:rsidRPr="000412C5" w:rsidRDefault="000412C5" w:rsidP="000412C5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0412C5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Prioridad y jerarquía de </w:t>
      </w:r>
      <w:proofErr w:type="spellStart"/>
      <w:r w:rsidRPr="000412C5">
        <w:rPr>
          <w:rFonts w:ascii="Times New Roman" w:eastAsia="Times New Roman" w:hAnsi="Times New Roman" w:cs="Times New Roman"/>
          <w:sz w:val="24"/>
          <w:szCs w:val="24"/>
          <w:lang w:eastAsia="es-MX"/>
        </w:rPr>
        <w:t>datums</w:t>
      </w:r>
      <w:proofErr w:type="spellEnd"/>
    </w:p>
    <w:p w14:paraId="62CEAE5B" w14:textId="77777777" w:rsidR="000412C5" w:rsidRPr="000412C5" w:rsidRDefault="000412C5" w:rsidP="000412C5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0412C5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Errores comunes en la definición de </w:t>
      </w:r>
      <w:proofErr w:type="spellStart"/>
      <w:r w:rsidRPr="000412C5">
        <w:rPr>
          <w:rFonts w:ascii="Times New Roman" w:eastAsia="Times New Roman" w:hAnsi="Times New Roman" w:cs="Times New Roman"/>
          <w:sz w:val="24"/>
          <w:szCs w:val="24"/>
          <w:lang w:eastAsia="es-MX"/>
        </w:rPr>
        <w:t>datums</w:t>
      </w:r>
      <w:proofErr w:type="spellEnd"/>
    </w:p>
    <w:p w14:paraId="2E03CCE6" w14:textId="77777777" w:rsidR="000412C5" w:rsidRPr="000412C5" w:rsidRDefault="000412C5" w:rsidP="000412C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0412C5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Tolerancias de Forma</w:t>
      </w:r>
    </w:p>
    <w:p w14:paraId="62D86659" w14:textId="77777777" w:rsidR="000412C5" w:rsidRPr="000412C5" w:rsidRDefault="000412C5" w:rsidP="000412C5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0412C5">
        <w:rPr>
          <w:rFonts w:ascii="Times New Roman" w:eastAsia="Times New Roman" w:hAnsi="Times New Roman" w:cs="Times New Roman"/>
          <w:sz w:val="24"/>
          <w:szCs w:val="24"/>
          <w:lang w:eastAsia="es-MX"/>
        </w:rPr>
        <w:t>Rectitud</w:t>
      </w:r>
    </w:p>
    <w:p w14:paraId="22DB5986" w14:textId="77777777" w:rsidR="000412C5" w:rsidRPr="000412C5" w:rsidRDefault="000412C5" w:rsidP="000412C5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0412C5">
        <w:rPr>
          <w:rFonts w:ascii="Times New Roman" w:eastAsia="Times New Roman" w:hAnsi="Times New Roman" w:cs="Times New Roman"/>
          <w:sz w:val="24"/>
          <w:szCs w:val="24"/>
          <w:lang w:eastAsia="es-MX"/>
        </w:rPr>
        <w:t>Planicidad</w:t>
      </w:r>
    </w:p>
    <w:p w14:paraId="54062074" w14:textId="77777777" w:rsidR="000412C5" w:rsidRPr="000412C5" w:rsidRDefault="000412C5" w:rsidP="000412C5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0412C5">
        <w:rPr>
          <w:rFonts w:ascii="Times New Roman" w:eastAsia="Times New Roman" w:hAnsi="Times New Roman" w:cs="Times New Roman"/>
          <w:sz w:val="24"/>
          <w:szCs w:val="24"/>
          <w:lang w:eastAsia="es-MX"/>
        </w:rPr>
        <w:t>Circularidad</w:t>
      </w:r>
    </w:p>
    <w:p w14:paraId="0A17D384" w14:textId="77777777" w:rsidR="000412C5" w:rsidRPr="000412C5" w:rsidRDefault="000412C5" w:rsidP="000412C5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proofErr w:type="spellStart"/>
      <w:r w:rsidRPr="000412C5">
        <w:rPr>
          <w:rFonts w:ascii="Times New Roman" w:eastAsia="Times New Roman" w:hAnsi="Times New Roman" w:cs="Times New Roman"/>
          <w:sz w:val="24"/>
          <w:szCs w:val="24"/>
          <w:lang w:eastAsia="es-MX"/>
        </w:rPr>
        <w:t>Cilindricidad</w:t>
      </w:r>
      <w:proofErr w:type="spellEnd"/>
    </w:p>
    <w:p w14:paraId="4F1A2C78" w14:textId="77777777" w:rsidR="000412C5" w:rsidRPr="000412C5" w:rsidRDefault="000412C5" w:rsidP="000412C5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0412C5">
        <w:rPr>
          <w:rFonts w:ascii="Times New Roman" w:eastAsia="Times New Roman" w:hAnsi="Times New Roman" w:cs="Times New Roman"/>
          <w:sz w:val="24"/>
          <w:szCs w:val="24"/>
          <w:lang w:eastAsia="es-MX"/>
        </w:rPr>
        <w:t>Aplicación práctica en manufactura</w:t>
      </w:r>
    </w:p>
    <w:p w14:paraId="3A28D64E" w14:textId="77777777" w:rsidR="000412C5" w:rsidRPr="000412C5" w:rsidRDefault="000412C5" w:rsidP="000412C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0412C5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Tolerancias de Orientación</w:t>
      </w:r>
    </w:p>
    <w:p w14:paraId="4BB23897" w14:textId="77777777" w:rsidR="000412C5" w:rsidRPr="000412C5" w:rsidRDefault="000412C5" w:rsidP="000412C5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0412C5">
        <w:rPr>
          <w:rFonts w:ascii="Times New Roman" w:eastAsia="Times New Roman" w:hAnsi="Times New Roman" w:cs="Times New Roman"/>
          <w:sz w:val="24"/>
          <w:szCs w:val="24"/>
          <w:lang w:eastAsia="es-MX"/>
        </w:rPr>
        <w:t>Paralelismo</w:t>
      </w:r>
    </w:p>
    <w:p w14:paraId="0F31D2EC" w14:textId="77777777" w:rsidR="000412C5" w:rsidRPr="000412C5" w:rsidRDefault="000412C5" w:rsidP="000412C5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0412C5">
        <w:rPr>
          <w:rFonts w:ascii="Times New Roman" w:eastAsia="Times New Roman" w:hAnsi="Times New Roman" w:cs="Times New Roman"/>
          <w:sz w:val="24"/>
          <w:szCs w:val="24"/>
          <w:lang w:eastAsia="es-MX"/>
        </w:rPr>
        <w:t>Perpendicularidad</w:t>
      </w:r>
    </w:p>
    <w:p w14:paraId="057567F4" w14:textId="77777777" w:rsidR="000412C5" w:rsidRPr="000412C5" w:rsidRDefault="000412C5" w:rsidP="000412C5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0412C5">
        <w:rPr>
          <w:rFonts w:ascii="Times New Roman" w:eastAsia="Times New Roman" w:hAnsi="Times New Roman" w:cs="Times New Roman"/>
          <w:sz w:val="24"/>
          <w:szCs w:val="24"/>
          <w:lang w:eastAsia="es-MX"/>
        </w:rPr>
        <w:t>Angularidad</w:t>
      </w:r>
    </w:p>
    <w:p w14:paraId="0421A24F" w14:textId="77777777" w:rsidR="000412C5" w:rsidRPr="000412C5" w:rsidRDefault="000412C5" w:rsidP="000412C5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0412C5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Relación con los </w:t>
      </w:r>
      <w:proofErr w:type="spellStart"/>
      <w:r w:rsidRPr="000412C5">
        <w:rPr>
          <w:rFonts w:ascii="Times New Roman" w:eastAsia="Times New Roman" w:hAnsi="Times New Roman" w:cs="Times New Roman"/>
          <w:sz w:val="24"/>
          <w:szCs w:val="24"/>
          <w:lang w:eastAsia="es-MX"/>
        </w:rPr>
        <w:t>datums</w:t>
      </w:r>
      <w:proofErr w:type="spellEnd"/>
    </w:p>
    <w:p w14:paraId="195C59B0" w14:textId="77777777" w:rsidR="000412C5" w:rsidRPr="000412C5" w:rsidRDefault="000412C5" w:rsidP="000412C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0412C5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Tolerancias de Localización</w:t>
      </w:r>
    </w:p>
    <w:p w14:paraId="06E97621" w14:textId="77777777" w:rsidR="000412C5" w:rsidRPr="000412C5" w:rsidRDefault="000412C5" w:rsidP="000412C5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0412C5">
        <w:rPr>
          <w:rFonts w:ascii="Times New Roman" w:eastAsia="Times New Roman" w:hAnsi="Times New Roman" w:cs="Times New Roman"/>
          <w:sz w:val="24"/>
          <w:szCs w:val="24"/>
          <w:lang w:eastAsia="es-MX"/>
        </w:rPr>
        <w:t>Posición</w:t>
      </w:r>
    </w:p>
    <w:p w14:paraId="45658483" w14:textId="77777777" w:rsidR="000412C5" w:rsidRPr="000412C5" w:rsidRDefault="000412C5" w:rsidP="000412C5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proofErr w:type="spellStart"/>
      <w:r w:rsidRPr="000412C5">
        <w:rPr>
          <w:rFonts w:ascii="Times New Roman" w:eastAsia="Times New Roman" w:hAnsi="Times New Roman" w:cs="Times New Roman"/>
          <w:sz w:val="24"/>
          <w:szCs w:val="24"/>
          <w:lang w:eastAsia="es-MX"/>
        </w:rPr>
        <w:t>Coaxialidad</w:t>
      </w:r>
      <w:proofErr w:type="spellEnd"/>
      <w:r w:rsidRPr="000412C5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y concentricidad (conceptual)</w:t>
      </w:r>
    </w:p>
    <w:p w14:paraId="62997C17" w14:textId="77777777" w:rsidR="000412C5" w:rsidRPr="000412C5" w:rsidRDefault="000412C5" w:rsidP="000412C5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0412C5">
        <w:rPr>
          <w:rFonts w:ascii="Times New Roman" w:eastAsia="Times New Roman" w:hAnsi="Times New Roman" w:cs="Times New Roman"/>
          <w:sz w:val="24"/>
          <w:szCs w:val="24"/>
          <w:lang w:eastAsia="es-MX"/>
        </w:rPr>
        <w:t>Zona de tolerancia y condición virtual</w:t>
      </w:r>
    </w:p>
    <w:p w14:paraId="353A6AC7" w14:textId="77777777" w:rsidR="000412C5" w:rsidRPr="000412C5" w:rsidRDefault="000412C5" w:rsidP="000412C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0412C5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lastRenderedPageBreak/>
        <w:t>Tolerancias de Perfil</w:t>
      </w:r>
    </w:p>
    <w:p w14:paraId="1D1F27C4" w14:textId="77777777" w:rsidR="000412C5" w:rsidRPr="000412C5" w:rsidRDefault="000412C5" w:rsidP="000412C5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0412C5">
        <w:rPr>
          <w:rFonts w:ascii="Times New Roman" w:eastAsia="Times New Roman" w:hAnsi="Times New Roman" w:cs="Times New Roman"/>
          <w:sz w:val="24"/>
          <w:szCs w:val="24"/>
          <w:lang w:eastAsia="es-MX"/>
        </w:rPr>
        <w:t>Perfil de línea</w:t>
      </w:r>
    </w:p>
    <w:p w14:paraId="4F454B04" w14:textId="77777777" w:rsidR="000412C5" w:rsidRPr="000412C5" w:rsidRDefault="000412C5" w:rsidP="000412C5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0412C5">
        <w:rPr>
          <w:rFonts w:ascii="Times New Roman" w:eastAsia="Times New Roman" w:hAnsi="Times New Roman" w:cs="Times New Roman"/>
          <w:sz w:val="24"/>
          <w:szCs w:val="24"/>
          <w:lang w:eastAsia="es-MX"/>
        </w:rPr>
        <w:t>Perfil de superficie</w:t>
      </w:r>
    </w:p>
    <w:p w14:paraId="305BB6DD" w14:textId="77777777" w:rsidR="000412C5" w:rsidRPr="000412C5" w:rsidRDefault="000412C5" w:rsidP="000412C5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0412C5">
        <w:rPr>
          <w:rFonts w:ascii="Times New Roman" w:eastAsia="Times New Roman" w:hAnsi="Times New Roman" w:cs="Times New Roman"/>
          <w:sz w:val="24"/>
          <w:szCs w:val="24"/>
          <w:lang w:eastAsia="es-MX"/>
        </w:rPr>
        <w:t>Aplicación en piezas complejas</w:t>
      </w:r>
    </w:p>
    <w:p w14:paraId="49831107" w14:textId="77777777" w:rsidR="000412C5" w:rsidRPr="000412C5" w:rsidRDefault="000412C5" w:rsidP="000412C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0412C5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Condiciones de Material</w:t>
      </w:r>
    </w:p>
    <w:p w14:paraId="44312417" w14:textId="77777777" w:rsidR="000412C5" w:rsidRPr="000412C5" w:rsidRDefault="000412C5" w:rsidP="000412C5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0412C5">
        <w:rPr>
          <w:rFonts w:ascii="Times New Roman" w:eastAsia="Times New Roman" w:hAnsi="Times New Roman" w:cs="Times New Roman"/>
          <w:sz w:val="24"/>
          <w:szCs w:val="24"/>
          <w:lang w:eastAsia="es-MX"/>
        </w:rPr>
        <w:t>MMC, LMC y RFS</w:t>
      </w:r>
    </w:p>
    <w:p w14:paraId="2C426B6F" w14:textId="77777777" w:rsidR="000412C5" w:rsidRPr="000412C5" w:rsidRDefault="000412C5" w:rsidP="000412C5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0412C5">
        <w:rPr>
          <w:rFonts w:ascii="Times New Roman" w:eastAsia="Times New Roman" w:hAnsi="Times New Roman" w:cs="Times New Roman"/>
          <w:sz w:val="24"/>
          <w:szCs w:val="24"/>
          <w:lang w:eastAsia="es-MX"/>
        </w:rPr>
        <w:t>Bonificación de tolerancia</w:t>
      </w:r>
    </w:p>
    <w:p w14:paraId="0B205C71" w14:textId="77777777" w:rsidR="000412C5" w:rsidRPr="000412C5" w:rsidRDefault="000412C5" w:rsidP="000412C5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0412C5">
        <w:rPr>
          <w:rFonts w:ascii="Times New Roman" w:eastAsia="Times New Roman" w:hAnsi="Times New Roman" w:cs="Times New Roman"/>
          <w:sz w:val="24"/>
          <w:szCs w:val="24"/>
          <w:lang w:eastAsia="es-MX"/>
        </w:rPr>
        <w:t>Impacto en inspección y manufactura</w:t>
      </w:r>
    </w:p>
    <w:p w14:paraId="738709BA" w14:textId="77777777" w:rsidR="000412C5" w:rsidRPr="000412C5" w:rsidRDefault="000412C5" w:rsidP="000412C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0412C5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Aplicación de GD&amp;T en Manufactura y Calidad</w:t>
      </w:r>
    </w:p>
    <w:p w14:paraId="1E8D2AFE" w14:textId="77777777" w:rsidR="000412C5" w:rsidRPr="000412C5" w:rsidRDefault="000412C5" w:rsidP="000412C5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0412C5">
        <w:rPr>
          <w:rFonts w:ascii="Times New Roman" w:eastAsia="Times New Roman" w:hAnsi="Times New Roman" w:cs="Times New Roman"/>
          <w:sz w:val="24"/>
          <w:szCs w:val="24"/>
          <w:lang w:eastAsia="es-MX"/>
        </w:rPr>
        <w:t>Interpretación de planos</w:t>
      </w:r>
    </w:p>
    <w:p w14:paraId="28B72705" w14:textId="77777777" w:rsidR="000412C5" w:rsidRPr="000412C5" w:rsidRDefault="000412C5" w:rsidP="000412C5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0412C5">
        <w:rPr>
          <w:rFonts w:ascii="Times New Roman" w:eastAsia="Times New Roman" w:hAnsi="Times New Roman" w:cs="Times New Roman"/>
          <w:sz w:val="24"/>
          <w:szCs w:val="24"/>
          <w:lang w:eastAsia="es-MX"/>
        </w:rPr>
        <w:t>Relación GD&amp;T – inspección – CMM</w:t>
      </w:r>
    </w:p>
    <w:p w14:paraId="1560AF01" w14:textId="77777777" w:rsidR="000412C5" w:rsidRPr="000412C5" w:rsidRDefault="000412C5" w:rsidP="000412C5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0412C5">
        <w:rPr>
          <w:rFonts w:ascii="Times New Roman" w:eastAsia="Times New Roman" w:hAnsi="Times New Roman" w:cs="Times New Roman"/>
          <w:sz w:val="24"/>
          <w:szCs w:val="24"/>
          <w:lang w:eastAsia="es-MX"/>
        </w:rPr>
        <w:t>Casos prácticos de análisis de dibujos</w:t>
      </w:r>
    </w:p>
    <w:p w14:paraId="39267814" w14:textId="77777777" w:rsidR="000412C5" w:rsidRPr="000412C5" w:rsidRDefault="000412C5" w:rsidP="000412C5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0412C5">
        <w:rPr>
          <w:rFonts w:ascii="Times New Roman" w:eastAsia="Times New Roman" w:hAnsi="Times New Roman" w:cs="Times New Roman"/>
          <w:sz w:val="24"/>
          <w:szCs w:val="24"/>
          <w:lang w:eastAsia="es-MX"/>
        </w:rPr>
        <w:t>Errores comunes y mejores prácticas</w:t>
      </w:r>
    </w:p>
    <w:p w14:paraId="1B350E11" w14:textId="77777777" w:rsidR="0087382C" w:rsidRDefault="0087382C"/>
    <w:sectPr w:rsidR="0087382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631EE3"/>
    <w:multiLevelType w:val="multilevel"/>
    <w:tmpl w:val="23F4A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B6F18AE"/>
    <w:multiLevelType w:val="multilevel"/>
    <w:tmpl w:val="F42E4D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2C5"/>
    <w:rsid w:val="000412C5"/>
    <w:rsid w:val="00254D02"/>
    <w:rsid w:val="00873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F67A1E"/>
  <w15:chartTrackingRefBased/>
  <w15:docId w15:val="{60A18944-D099-4A71-B34D-16B3EF279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67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2025-12-16T01:08:00Z</dcterms:created>
  <dcterms:modified xsi:type="dcterms:W3CDTF">2025-12-16T01:47:00Z</dcterms:modified>
</cp:coreProperties>
</file>