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A6523" w14:textId="1E0C6A2E" w:rsidR="003366E1" w:rsidRPr="003366E1" w:rsidRDefault="003366E1" w:rsidP="003366E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 xml:space="preserve">Curso: Diseño de Experimentos (DOE) </w:t>
      </w:r>
    </w:p>
    <w:p w14:paraId="02D6B27B" w14:textId="571044BA" w:rsidR="003366E1" w:rsidRPr="003366E1" w:rsidRDefault="003366E1" w:rsidP="003366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  <w:t>16 horas</w:t>
      </w:r>
    </w:p>
    <w:p w14:paraId="0189C618" w14:textId="77777777" w:rsidR="003366E1" w:rsidRPr="003366E1" w:rsidRDefault="003366E1" w:rsidP="003366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Objetivo general:</w:t>
      </w: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  <w:t>Desarrollar en los participantes las competencias necesarias para planear, ejecutar y analizar diseños de experimentos factoriales y fraccionados, con el fin de identificar variables críticas del proceso, optimizar parámetros operativos y mejorar el desempeño de procesos de manufactura mediante el uso de métodos estadísticos estructurados.</w:t>
      </w:r>
    </w:p>
    <w:p w14:paraId="1D813D0C" w14:textId="77777777" w:rsidR="003366E1" w:rsidRPr="003366E1" w:rsidRDefault="003366E1" w:rsidP="003366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Dirigido a:</w:t>
      </w:r>
    </w:p>
    <w:p w14:paraId="020FB3EC" w14:textId="77777777" w:rsidR="003366E1" w:rsidRPr="003366E1" w:rsidRDefault="003366E1" w:rsidP="003366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Ingenieros de procesos, manufactura y calidad</w:t>
      </w:r>
    </w:p>
    <w:p w14:paraId="2F761EC5" w14:textId="77777777" w:rsidR="003366E1" w:rsidRPr="003366E1" w:rsidRDefault="003366E1" w:rsidP="003366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Ingenieros </w:t>
      </w:r>
      <w:proofErr w:type="spellStart"/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Six</w:t>
      </w:r>
      <w:proofErr w:type="spellEnd"/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Sigma Green </w:t>
      </w:r>
      <w:proofErr w:type="spellStart"/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Belt</w:t>
      </w:r>
      <w:proofErr w:type="spellEnd"/>
    </w:p>
    <w:p w14:paraId="618725F9" w14:textId="77777777" w:rsidR="003366E1" w:rsidRPr="003366E1" w:rsidRDefault="003366E1" w:rsidP="003366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Técnicos e ingenieros de mejora continua</w:t>
      </w:r>
    </w:p>
    <w:p w14:paraId="18C8B5B6" w14:textId="77777777" w:rsidR="003366E1" w:rsidRPr="003366E1" w:rsidRDefault="003366E1" w:rsidP="003366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Personal de ingeniería y desarrollo de procesos</w:t>
      </w:r>
    </w:p>
    <w:p w14:paraId="66EFC6A8" w14:textId="77777777" w:rsidR="003366E1" w:rsidRPr="003366E1" w:rsidRDefault="003366E1" w:rsidP="003366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Profesionales con conocimientos básicos de estadística y análisis de datos</w:t>
      </w:r>
    </w:p>
    <w:p w14:paraId="17A4F612" w14:textId="77777777" w:rsidR="003366E1" w:rsidRPr="003366E1" w:rsidRDefault="003366E1" w:rsidP="003366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Temario:</w:t>
      </w:r>
    </w:p>
    <w:p w14:paraId="2E80DE9E" w14:textId="77777777" w:rsidR="003366E1" w:rsidRPr="003366E1" w:rsidRDefault="003366E1" w:rsidP="003366E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Fundamentos Intermedios de Diseño de Experimentos</w:t>
      </w:r>
    </w:p>
    <w:p w14:paraId="20E91137" w14:textId="77777777" w:rsidR="003366E1" w:rsidRPr="003366E1" w:rsidRDefault="003366E1" w:rsidP="003366E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Rol del DOE en la mejora de procesos</w:t>
      </w:r>
    </w:p>
    <w:p w14:paraId="28463F34" w14:textId="77777777" w:rsidR="003366E1" w:rsidRPr="003366E1" w:rsidRDefault="003366E1" w:rsidP="003366E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Enfoque experimental vs. prueba y error</w:t>
      </w:r>
    </w:p>
    <w:p w14:paraId="29F367A9" w14:textId="77777777" w:rsidR="003366E1" w:rsidRPr="003366E1" w:rsidRDefault="003366E1" w:rsidP="003366E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Tipos de experimentos industriales</w:t>
      </w:r>
    </w:p>
    <w:p w14:paraId="79DC99F4" w14:textId="77777777" w:rsidR="003366E1" w:rsidRPr="003366E1" w:rsidRDefault="003366E1" w:rsidP="003366E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Planeación del Experimento</w:t>
      </w:r>
    </w:p>
    <w:p w14:paraId="1F0B247F" w14:textId="77777777" w:rsidR="003366E1" w:rsidRPr="003366E1" w:rsidRDefault="003366E1" w:rsidP="003366E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Definición del problema y objetivos</w:t>
      </w:r>
    </w:p>
    <w:p w14:paraId="0983E38C" w14:textId="77777777" w:rsidR="003366E1" w:rsidRPr="003366E1" w:rsidRDefault="003366E1" w:rsidP="003366E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Selección de variables de respuesta</w:t>
      </w:r>
    </w:p>
    <w:p w14:paraId="23BD294F" w14:textId="77777777" w:rsidR="003366E1" w:rsidRPr="003366E1" w:rsidRDefault="003366E1" w:rsidP="003366E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factores y niveles</w:t>
      </w:r>
    </w:p>
    <w:p w14:paraId="2AE67F10" w14:textId="77777777" w:rsidR="003366E1" w:rsidRPr="003366E1" w:rsidRDefault="003366E1" w:rsidP="003366E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Consideraciones prácticas y restricciones del proceso</w:t>
      </w:r>
    </w:p>
    <w:p w14:paraId="67A5479A" w14:textId="77777777" w:rsidR="003366E1" w:rsidRPr="003366E1" w:rsidRDefault="003366E1" w:rsidP="003366E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Diseños Factoriales</w:t>
      </w:r>
    </w:p>
    <w:p w14:paraId="4AB8C107" w14:textId="77777777" w:rsidR="003366E1" w:rsidRPr="003366E1" w:rsidRDefault="003366E1" w:rsidP="003366E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Diseños factoriales completos</w:t>
      </w:r>
    </w:p>
    <w:p w14:paraId="2CD1FA78" w14:textId="77777777" w:rsidR="003366E1" w:rsidRPr="003366E1" w:rsidRDefault="003366E1" w:rsidP="003366E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Efectos principales e interacciones</w:t>
      </w:r>
    </w:p>
    <w:p w14:paraId="0E8287AB" w14:textId="77777777" w:rsidR="003366E1" w:rsidRPr="003366E1" w:rsidRDefault="003366E1" w:rsidP="003366E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Interpretación de resultados</w:t>
      </w:r>
    </w:p>
    <w:p w14:paraId="409B55D5" w14:textId="77777777" w:rsidR="003366E1" w:rsidRPr="003366E1" w:rsidRDefault="003366E1" w:rsidP="003366E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Aplicación en procesos de manufactura</w:t>
      </w:r>
    </w:p>
    <w:p w14:paraId="22389463" w14:textId="77777777" w:rsidR="003366E1" w:rsidRPr="003366E1" w:rsidRDefault="003366E1" w:rsidP="003366E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Diseños Factoriales Fraccionados</w:t>
      </w:r>
    </w:p>
    <w:p w14:paraId="6FA162CB" w14:textId="77777777" w:rsidR="003366E1" w:rsidRPr="003366E1" w:rsidRDefault="003366E1" w:rsidP="003366E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Concepto de fraccionamiento</w:t>
      </w:r>
    </w:p>
    <w:p w14:paraId="1D57F4DE" w14:textId="77777777" w:rsidR="003366E1" w:rsidRPr="003366E1" w:rsidRDefault="003366E1" w:rsidP="003366E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Resolución y </w:t>
      </w:r>
      <w:proofErr w:type="spellStart"/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aliasing</w:t>
      </w:r>
      <w:proofErr w:type="spellEnd"/>
    </w:p>
    <w:p w14:paraId="5259AA82" w14:textId="77777777" w:rsidR="003366E1" w:rsidRPr="003366E1" w:rsidRDefault="003366E1" w:rsidP="003366E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Selección del diseño adecuado</w:t>
      </w:r>
    </w:p>
    <w:p w14:paraId="54EF3077" w14:textId="77777777" w:rsidR="003366E1" w:rsidRPr="003366E1" w:rsidRDefault="003366E1" w:rsidP="003366E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Ventajas y limitaciones</w:t>
      </w:r>
    </w:p>
    <w:p w14:paraId="77232D01" w14:textId="77777777" w:rsidR="003366E1" w:rsidRPr="003366E1" w:rsidRDefault="003366E1" w:rsidP="003366E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Análisis Estadístico de Resultados</w:t>
      </w:r>
    </w:p>
    <w:p w14:paraId="1B826F29" w14:textId="77777777" w:rsidR="003366E1" w:rsidRPr="003366E1" w:rsidRDefault="003366E1" w:rsidP="003366E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Análisis de varianza (ANOVA)</w:t>
      </w:r>
    </w:p>
    <w:p w14:paraId="75EF2BAB" w14:textId="77777777" w:rsidR="003366E1" w:rsidRPr="003366E1" w:rsidRDefault="003366E1" w:rsidP="003366E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Gráficos de efectos y diagramas de interacción</w:t>
      </w:r>
    </w:p>
    <w:p w14:paraId="736B2CAA" w14:textId="77777777" w:rsidR="003366E1" w:rsidRPr="003366E1" w:rsidRDefault="003366E1" w:rsidP="003366E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Validación de supuestos</w:t>
      </w:r>
    </w:p>
    <w:p w14:paraId="719D652C" w14:textId="77777777" w:rsidR="003366E1" w:rsidRPr="003366E1" w:rsidRDefault="003366E1" w:rsidP="003366E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Uso de software estadístico (conceptual)</w:t>
      </w:r>
    </w:p>
    <w:p w14:paraId="3E3F4D15" w14:textId="77777777" w:rsidR="003366E1" w:rsidRPr="003366E1" w:rsidRDefault="003366E1" w:rsidP="003366E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Optimización del Proceso</w:t>
      </w:r>
    </w:p>
    <w:p w14:paraId="1D7D0176" w14:textId="77777777" w:rsidR="003366E1" w:rsidRPr="003366E1" w:rsidRDefault="003366E1" w:rsidP="003366E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lastRenderedPageBreak/>
        <w:t>Identificación de factores críticos (</w:t>
      </w:r>
      <w:proofErr w:type="spellStart"/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CTQs</w:t>
      </w:r>
      <w:proofErr w:type="spellEnd"/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)</w:t>
      </w:r>
    </w:p>
    <w:p w14:paraId="5FADD5BF" w14:textId="77777777" w:rsidR="003366E1" w:rsidRPr="003366E1" w:rsidRDefault="003366E1" w:rsidP="003366E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Ajuste de parámetros óptimos</w:t>
      </w:r>
    </w:p>
    <w:p w14:paraId="2AEDDDF9" w14:textId="77777777" w:rsidR="003366E1" w:rsidRPr="003366E1" w:rsidRDefault="003366E1" w:rsidP="003366E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Confirmación del experimento</w:t>
      </w:r>
    </w:p>
    <w:p w14:paraId="02696E48" w14:textId="77777777" w:rsidR="003366E1" w:rsidRPr="003366E1" w:rsidRDefault="003366E1" w:rsidP="003366E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Transferencia de resultados a producción</w:t>
      </w:r>
    </w:p>
    <w:p w14:paraId="21B864F3" w14:textId="77777777" w:rsidR="003366E1" w:rsidRPr="003366E1" w:rsidRDefault="003366E1" w:rsidP="003366E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Errores Comunes y Mejores Prácticas</w:t>
      </w:r>
    </w:p>
    <w:p w14:paraId="3A0578E0" w14:textId="77777777" w:rsidR="003366E1" w:rsidRPr="003366E1" w:rsidRDefault="003366E1" w:rsidP="003366E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Errores frecuentes en la ejecución del DOE</w:t>
      </w:r>
    </w:p>
    <w:p w14:paraId="7EFAF580" w14:textId="77777777" w:rsidR="003366E1" w:rsidRPr="003366E1" w:rsidRDefault="003366E1" w:rsidP="003366E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Control de ruido y variabilidad</w:t>
      </w:r>
    </w:p>
    <w:p w14:paraId="7CA91E51" w14:textId="77777777" w:rsidR="003366E1" w:rsidRPr="003366E1" w:rsidRDefault="003366E1" w:rsidP="003366E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Replicación, aleatorización y bloqueo</w:t>
      </w:r>
    </w:p>
    <w:p w14:paraId="7EFCFC23" w14:textId="77777777" w:rsidR="003366E1" w:rsidRPr="003366E1" w:rsidRDefault="003366E1" w:rsidP="003366E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Aplicación del DOE en Mejora Continua</w:t>
      </w:r>
    </w:p>
    <w:p w14:paraId="4A61CE83" w14:textId="77777777" w:rsidR="003366E1" w:rsidRPr="003366E1" w:rsidRDefault="003366E1" w:rsidP="003366E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Integración del DOE en DMAIC</w:t>
      </w:r>
    </w:p>
    <w:p w14:paraId="253C64EA" w14:textId="77777777" w:rsidR="003366E1" w:rsidRPr="003366E1" w:rsidRDefault="003366E1" w:rsidP="003366E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Casos prácticos de manufactura</w:t>
      </w:r>
    </w:p>
    <w:p w14:paraId="18F81903" w14:textId="77777777" w:rsidR="003366E1" w:rsidRPr="003366E1" w:rsidRDefault="003366E1" w:rsidP="003366E1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Ejercicios de análisis e interpretación</w:t>
      </w:r>
    </w:p>
    <w:p w14:paraId="00E43DD1" w14:textId="77777777" w:rsidR="003366E1" w:rsidRPr="003366E1" w:rsidRDefault="003366E1" w:rsidP="003366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pict w14:anchorId="541F7000">
          <v:rect id="_x0000_i1025" style="width:0;height:1.5pt" o:hralign="center" o:hrstd="t" o:hr="t" fillcolor="#a0a0a0" stroked="f"/>
        </w:pict>
      </w:r>
    </w:p>
    <w:p w14:paraId="4F243778" w14:textId="77777777" w:rsidR="003366E1" w:rsidRPr="003366E1" w:rsidRDefault="003366E1" w:rsidP="003366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Si deseas, puedo continuar con:</w:t>
      </w:r>
    </w:p>
    <w:p w14:paraId="3B70C771" w14:textId="77777777" w:rsidR="003366E1" w:rsidRPr="003366E1" w:rsidRDefault="003366E1" w:rsidP="003366E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SPC – Control Estadístico de Procesos</w:t>
      </w:r>
    </w:p>
    <w:p w14:paraId="70A01EFA" w14:textId="77777777" w:rsidR="003366E1" w:rsidRPr="003366E1" w:rsidRDefault="003366E1" w:rsidP="003366E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MSA – Análisis de Sistemas de Medición</w:t>
      </w:r>
    </w:p>
    <w:p w14:paraId="49D1505C" w14:textId="77777777" w:rsidR="003366E1" w:rsidRPr="003366E1" w:rsidRDefault="003366E1" w:rsidP="003366E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proofErr w:type="spellStart"/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Six</w:t>
      </w:r>
      <w:proofErr w:type="spellEnd"/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 xml:space="preserve"> Sigma Green </w:t>
      </w:r>
      <w:proofErr w:type="spellStart"/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Belt</w:t>
      </w:r>
      <w:proofErr w:type="spellEnd"/>
    </w:p>
    <w:p w14:paraId="7E04B6DB" w14:textId="77777777" w:rsidR="003366E1" w:rsidRPr="003366E1" w:rsidRDefault="003366E1" w:rsidP="003366E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Optimización de Procesos</w:t>
      </w:r>
    </w:p>
    <w:p w14:paraId="15E7DCCF" w14:textId="77777777" w:rsidR="003366E1" w:rsidRPr="003366E1" w:rsidRDefault="003366E1" w:rsidP="003366E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DOE avanzado (superficie de respuesta, Taguchi)</w:t>
      </w:r>
    </w:p>
    <w:p w14:paraId="7B0E9E61" w14:textId="77777777" w:rsidR="003366E1" w:rsidRPr="003366E1" w:rsidRDefault="003366E1" w:rsidP="003366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Indícame cuál curso sigue o si deseas ajustar duración o profundidad.</w:t>
      </w:r>
    </w:p>
    <w:p w14:paraId="7ADEDD61" w14:textId="77777777" w:rsidR="003366E1" w:rsidRPr="003366E1" w:rsidRDefault="003366E1" w:rsidP="003366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Continua con CORE TOOLS</w:t>
      </w:r>
    </w:p>
    <w:p w14:paraId="52DFD30A" w14:textId="77777777" w:rsidR="003366E1" w:rsidRPr="003366E1" w:rsidRDefault="003366E1" w:rsidP="003366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Excelente. A </w:t>
      </w:r>
      <w:proofErr w:type="gramStart"/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continuación</w:t>
      </w:r>
      <w:proofErr w:type="gramEnd"/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presento el </w:t>
      </w: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curso de CORE TOOLS – Nivel Intermedio</w:t>
      </w: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, manteniendo la </w:t>
      </w: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misma estructura, duración y enfoque</w:t>
      </w: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que los cursos anteriores para asegurar coherencia en tu oferta de capacitación.</w:t>
      </w:r>
    </w:p>
    <w:p w14:paraId="6FB009C3" w14:textId="77777777" w:rsidR="003366E1" w:rsidRPr="003366E1" w:rsidRDefault="003366E1" w:rsidP="003366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pict w14:anchorId="5518A1F7">
          <v:rect id="_x0000_i1026" style="width:0;height:1.5pt" o:hralign="center" o:hrstd="t" o:hr="t" fillcolor="#a0a0a0" stroked="f"/>
        </w:pict>
      </w:r>
    </w:p>
    <w:p w14:paraId="4F736398" w14:textId="77777777" w:rsidR="003366E1" w:rsidRPr="003366E1" w:rsidRDefault="003366E1" w:rsidP="003366E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3366E1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Curso: Core Tools (Herramientas Clave de Calidad) – Nivel Intermedio</w:t>
      </w:r>
    </w:p>
    <w:p w14:paraId="18C08B79" w14:textId="77777777" w:rsidR="003366E1" w:rsidRPr="003366E1" w:rsidRDefault="003366E1" w:rsidP="003366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Duración:</w:t>
      </w: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  <w:t>16 horas</w:t>
      </w:r>
    </w:p>
    <w:p w14:paraId="2DB35ED9" w14:textId="77777777" w:rsidR="003366E1" w:rsidRPr="003366E1" w:rsidRDefault="003366E1" w:rsidP="003366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Objetivo general:</w:t>
      </w: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  <w:t>Desarrollar en los participantes las competencias necesarias para aplicar de manera integrada las Core Tools de la industria automotriz y manufacturera, asegurando la calidad del producto y del proceso desde la planeación hasta la producción en serie, mediante el uso de metodologías estructuradas que permitan la prevención de defectos y la mejora continua.</w:t>
      </w:r>
    </w:p>
    <w:p w14:paraId="554A8605" w14:textId="77777777" w:rsidR="003366E1" w:rsidRPr="003366E1" w:rsidRDefault="003366E1" w:rsidP="003366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lastRenderedPageBreak/>
        <w:t>Dirigido a:</w:t>
      </w:r>
    </w:p>
    <w:p w14:paraId="270449D5" w14:textId="77777777" w:rsidR="003366E1" w:rsidRPr="003366E1" w:rsidRDefault="003366E1" w:rsidP="003366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Ingenieros de calidad, procesos y manufactura</w:t>
      </w:r>
    </w:p>
    <w:p w14:paraId="6A9125F3" w14:textId="77777777" w:rsidR="003366E1" w:rsidRPr="003366E1" w:rsidRDefault="003366E1" w:rsidP="003366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Ingenieros de producto y desarrollo</w:t>
      </w:r>
    </w:p>
    <w:p w14:paraId="5D69D69C" w14:textId="77777777" w:rsidR="003366E1" w:rsidRPr="003366E1" w:rsidRDefault="003366E1" w:rsidP="003366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Auditores internos y personal de sistemas de gestión</w:t>
      </w:r>
    </w:p>
    <w:p w14:paraId="405AF7C3" w14:textId="77777777" w:rsidR="003366E1" w:rsidRPr="003366E1" w:rsidRDefault="003366E1" w:rsidP="003366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Supervisores y líderes de producción</w:t>
      </w:r>
    </w:p>
    <w:p w14:paraId="7CDFCC8D" w14:textId="77777777" w:rsidR="003366E1" w:rsidRPr="003366E1" w:rsidRDefault="003366E1" w:rsidP="003366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Profesionales con conocimientos básicos de calidad y manufactura</w:t>
      </w:r>
    </w:p>
    <w:p w14:paraId="30B73FD3" w14:textId="77777777" w:rsidR="003366E1" w:rsidRPr="003366E1" w:rsidRDefault="003366E1" w:rsidP="003366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Temario:</w:t>
      </w:r>
    </w:p>
    <w:p w14:paraId="01184C36" w14:textId="77777777" w:rsidR="003366E1" w:rsidRPr="003366E1" w:rsidRDefault="003366E1" w:rsidP="003366E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Introducción a las Core Tools</w:t>
      </w:r>
    </w:p>
    <w:p w14:paraId="1C305CD5" w14:textId="77777777" w:rsidR="003366E1" w:rsidRPr="003366E1" w:rsidRDefault="003366E1" w:rsidP="003366E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Enfoque preventivo de la calidad</w:t>
      </w:r>
    </w:p>
    <w:p w14:paraId="0666071D" w14:textId="77777777" w:rsidR="003366E1" w:rsidRPr="003366E1" w:rsidRDefault="003366E1" w:rsidP="003366E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Relación entre Core Tools y sistemas de gestión (IATF 16949)</w:t>
      </w:r>
    </w:p>
    <w:p w14:paraId="132B9734" w14:textId="77777777" w:rsidR="003366E1" w:rsidRPr="003366E1" w:rsidRDefault="003366E1" w:rsidP="003366E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Integración de las herramientas a lo largo del ciclo del producto</w:t>
      </w:r>
    </w:p>
    <w:p w14:paraId="0A544F71" w14:textId="77777777" w:rsidR="003366E1" w:rsidRPr="003366E1" w:rsidRDefault="003366E1" w:rsidP="003366E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APQP – Planeación Avanzada de la Calidad del Producto</w:t>
      </w:r>
    </w:p>
    <w:p w14:paraId="5F785DF4" w14:textId="77777777" w:rsidR="003366E1" w:rsidRPr="003366E1" w:rsidRDefault="003366E1" w:rsidP="003366E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Fases del APQP</w:t>
      </w:r>
    </w:p>
    <w:p w14:paraId="27B94F2B" w14:textId="77777777" w:rsidR="003366E1" w:rsidRPr="003366E1" w:rsidRDefault="003366E1" w:rsidP="003366E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Voz del cliente y requisitos</w:t>
      </w:r>
    </w:p>
    <w:p w14:paraId="0B1EE79C" w14:textId="77777777" w:rsidR="003366E1" w:rsidRPr="003366E1" w:rsidRDefault="003366E1" w:rsidP="003366E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Plan de control preliminar</w:t>
      </w:r>
    </w:p>
    <w:p w14:paraId="3BA80DFC" w14:textId="77777777" w:rsidR="003366E1" w:rsidRPr="003366E1" w:rsidRDefault="003366E1" w:rsidP="003366E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Gestión de riesgos en la planeación</w:t>
      </w:r>
    </w:p>
    <w:p w14:paraId="392D4CDF" w14:textId="77777777" w:rsidR="003366E1" w:rsidRPr="003366E1" w:rsidRDefault="003366E1" w:rsidP="003366E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FMEA (AIAG–VDA)</w:t>
      </w:r>
    </w:p>
    <w:p w14:paraId="19EAD610" w14:textId="77777777" w:rsidR="003366E1" w:rsidRPr="003366E1" w:rsidRDefault="003366E1" w:rsidP="003366E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Enfoque de FMEA de diseño y proceso</w:t>
      </w:r>
    </w:p>
    <w:p w14:paraId="6122EF7D" w14:textId="77777777" w:rsidR="003366E1" w:rsidRPr="003366E1" w:rsidRDefault="003366E1" w:rsidP="003366E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Estructura del FMEA AIAG-VDA</w:t>
      </w:r>
    </w:p>
    <w:p w14:paraId="144A79C9" w14:textId="77777777" w:rsidR="003366E1" w:rsidRPr="003366E1" w:rsidRDefault="003366E1" w:rsidP="003366E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Análisis de funciones, fallas y causas</w:t>
      </w:r>
    </w:p>
    <w:p w14:paraId="082ED2AA" w14:textId="77777777" w:rsidR="003366E1" w:rsidRPr="003366E1" w:rsidRDefault="003366E1" w:rsidP="003366E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Acciones de mitigación y priorización de riesgos</w:t>
      </w:r>
    </w:p>
    <w:p w14:paraId="0754718B" w14:textId="77777777" w:rsidR="003366E1" w:rsidRPr="003366E1" w:rsidRDefault="003366E1" w:rsidP="003366E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MSA – Análisis de Sistemas de Medición</w:t>
      </w:r>
    </w:p>
    <w:p w14:paraId="4D94944C" w14:textId="77777777" w:rsidR="003366E1" w:rsidRPr="003366E1" w:rsidRDefault="003366E1" w:rsidP="003366E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Importancia de la confiabilidad de la medición</w:t>
      </w:r>
    </w:p>
    <w:p w14:paraId="580A074B" w14:textId="77777777" w:rsidR="003366E1" w:rsidRPr="003366E1" w:rsidRDefault="003366E1" w:rsidP="003366E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Tipos de estudios MSA</w:t>
      </w:r>
    </w:p>
    <w:p w14:paraId="13C6A05D" w14:textId="77777777" w:rsidR="003366E1" w:rsidRPr="003366E1" w:rsidRDefault="003366E1" w:rsidP="003366E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proofErr w:type="spellStart"/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Gage</w:t>
      </w:r>
      <w:proofErr w:type="spellEnd"/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R&amp;R (variables y atributos)</w:t>
      </w:r>
    </w:p>
    <w:p w14:paraId="4602DAA3" w14:textId="77777777" w:rsidR="003366E1" w:rsidRPr="003366E1" w:rsidRDefault="003366E1" w:rsidP="003366E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Interpretación de resultados y criterios de aceptación</w:t>
      </w:r>
    </w:p>
    <w:p w14:paraId="768A8AA9" w14:textId="77777777" w:rsidR="003366E1" w:rsidRPr="003366E1" w:rsidRDefault="003366E1" w:rsidP="003366E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SPC – Control Estadístico de Procesos</w:t>
      </w:r>
    </w:p>
    <w:p w14:paraId="3BF6615E" w14:textId="77777777" w:rsidR="003366E1" w:rsidRPr="003366E1" w:rsidRDefault="003366E1" w:rsidP="003366E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Variación común y especial</w:t>
      </w:r>
    </w:p>
    <w:p w14:paraId="7602233E" w14:textId="77777777" w:rsidR="003366E1" w:rsidRPr="003366E1" w:rsidRDefault="003366E1" w:rsidP="003366E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Gráficos de control por variables y atributos</w:t>
      </w:r>
    </w:p>
    <w:p w14:paraId="4B0F0865" w14:textId="77777777" w:rsidR="003366E1" w:rsidRPr="003366E1" w:rsidRDefault="003366E1" w:rsidP="003366E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Reacción ante condiciones fuera de control</w:t>
      </w:r>
    </w:p>
    <w:p w14:paraId="1AC1E2BC" w14:textId="77777777" w:rsidR="003366E1" w:rsidRPr="003366E1" w:rsidRDefault="003366E1" w:rsidP="003366E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Uso del SPC para la mejora del proceso</w:t>
      </w:r>
    </w:p>
    <w:p w14:paraId="1B240A2F" w14:textId="77777777" w:rsidR="003366E1" w:rsidRPr="003366E1" w:rsidRDefault="003366E1" w:rsidP="003366E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PPAP – Proceso de Aprobación de Partes para Producción</w:t>
      </w:r>
    </w:p>
    <w:p w14:paraId="50A77647" w14:textId="77777777" w:rsidR="003366E1" w:rsidRPr="003366E1" w:rsidRDefault="003366E1" w:rsidP="003366E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Propósito y niveles de PPAP</w:t>
      </w:r>
    </w:p>
    <w:p w14:paraId="43716D64" w14:textId="77777777" w:rsidR="003366E1" w:rsidRPr="003366E1" w:rsidRDefault="003366E1" w:rsidP="003366E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Requisitos y entregables</w:t>
      </w:r>
    </w:p>
    <w:p w14:paraId="717E68DF" w14:textId="77777777" w:rsidR="003366E1" w:rsidRPr="003366E1" w:rsidRDefault="003366E1" w:rsidP="003366E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Relación entre PPAP, APQP y FMEA</w:t>
      </w:r>
    </w:p>
    <w:p w14:paraId="198A2129" w14:textId="77777777" w:rsidR="003366E1" w:rsidRPr="003366E1" w:rsidRDefault="003366E1" w:rsidP="003366E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Gestión de cambios y revalidaciones</w:t>
      </w:r>
    </w:p>
    <w:p w14:paraId="6326D5F8" w14:textId="77777777" w:rsidR="003366E1" w:rsidRPr="003366E1" w:rsidRDefault="003366E1" w:rsidP="003366E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Plan de Control</w:t>
      </w:r>
    </w:p>
    <w:p w14:paraId="63EB6E26" w14:textId="77777777" w:rsidR="003366E1" w:rsidRPr="003366E1" w:rsidRDefault="003366E1" w:rsidP="003366E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Estructura y tipos de plan de control</w:t>
      </w:r>
    </w:p>
    <w:p w14:paraId="59ED8696" w14:textId="77777777" w:rsidR="003366E1" w:rsidRPr="003366E1" w:rsidRDefault="003366E1" w:rsidP="003366E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Relación con FMEA y flujo del proceso</w:t>
      </w:r>
    </w:p>
    <w:p w14:paraId="08512015" w14:textId="77777777" w:rsidR="003366E1" w:rsidRPr="003366E1" w:rsidRDefault="003366E1" w:rsidP="003366E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Implementación y mantenimiento en producción</w:t>
      </w:r>
    </w:p>
    <w:p w14:paraId="2B487536" w14:textId="77777777" w:rsidR="003366E1" w:rsidRPr="003366E1" w:rsidRDefault="003366E1" w:rsidP="003366E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Integración de las Core Tools en la Mejora Continua</w:t>
      </w:r>
    </w:p>
    <w:p w14:paraId="15C55935" w14:textId="77777777" w:rsidR="003366E1" w:rsidRPr="003366E1" w:rsidRDefault="003366E1" w:rsidP="003366E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Uso de Core Tools para prevención de defectos</w:t>
      </w:r>
    </w:p>
    <w:p w14:paraId="4EFC0FC2" w14:textId="77777777" w:rsidR="003366E1" w:rsidRPr="003366E1" w:rsidRDefault="003366E1" w:rsidP="003366E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Lecciones aprendidas y estandarización</w:t>
      </w:r>
    </w:p>
    <w:p w14:paraId="36F56696" w14:textId="77777777" w:rsidR="003366E1" w:rsidRPr="003366E1" w:rsidRDefault="003366E1" w:rsidP="003366E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366E1">
        <w:rPr>
          <w:rFonts w:ascii="Times New Roman" w:eastAsia="Times New Roman" w:hAnsi="Times New Roman" w:cs="Times New Roman"/>
          <w:sz w:val="24"/>
          <w:szCs w:val="24"/>
          <w:lang w:eastAsia="es-MX"/>
        </w:rPr>
        <w:t>Casos prácticos de aplicación en manufactura</w:t>
      </w:r>
    </w:p>
    <w:p w14:paraId="036EE114" w14:textId="77777777" w:rsidR="0087382C" w:rsidRDefault="0087382C"/>
    <w:sectPr w:rsidR="008738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F6071"/>
    <w:multiLevelType w:val="multilevel"/>
    <w:tmpl w:val="58ECA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432728"/>
    <w:multiLevelType w:val="multilevel"/>
    <w:tmpl w:val="D33C2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FC2EA8"/>
    <w:multiLevelType w:val="multilevel"/>
    <w:tmpl w:val="2C482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496E6A"/>
    <w:multiLevelType w:val="multilevel"/>
    <w:tmpl w:val="4126B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291096"/>
    <w:multiLevelType w:val="multilevel"/>
    <w:tmpl w:val="DB20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6E1"/>
    <w:rsid w:val="003366E1"/>
    <w:rsid w:val="003E473E"/>
    <w:rsid w:val="0087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A2160"/>
  <w15:chartTrackingRefBased/>
  <w15:docId w15:val="{405116E8-5E03-46B5-A24A-0D92299C3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36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2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89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71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09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797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423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1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14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123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65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56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371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7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1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80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74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33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722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705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2025-12-16T01:05:00Z</dcterms:created>
  <dcterms:modified xsi:type="dcterms:W3CDTF">2025-12-16T01:47:00Z</dcterms:modified>
</cp:coreProperties>
</file>